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Pr="003666CC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66CC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D12BE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2C449E" w:rsidTr="002C449E">
        <w:tc>
          <w:tcPr>
            <w:tcW w:w="5103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EA3189">
        <w:tc>
          <w:tcPr>
            <w:tcW w:w="9349" w:type="dxa"/>
            <w:gridSpan w:val="2"/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AB5E58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AB5E58" w:rsidTr="00AB5E58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AB5E58" w:rsidRDefault="00AB5E58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AB5E58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D6BCE">
        <w:rPr>
          <w:rFonts w:ascii="Times New Roman" w:hAnsi="Times New Roman" w:cs="Times New Roman"/>
          <w:sz w:val="28"/>
          <w:szCs w:val="28"/>
        </w:rPr>
        <w:t>Рассмотрение замечаний к проекту отчета».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6"/>
      </w:tblGrid>
      <w:tr w:rsidR="00C1354C" w:rsidTr="00C1354C">
        <w:tc>
          <w:tcPr>
            <w:tcW w:w="510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1354C" w:rsidRPr="00721A00" w:rsidRDefault="00721A00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по почте заказным письмом с уведомление о вручении, вручен либо на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6"/>
      </w:tblGrid>
      <w:tr w:rsidR="00C1354C" w:rsidTr="00721A00">
        <w:tc>
          <w:tcPr>
            <w:tcW w:w="4253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официальную электронную почту</w:t>
            </w:r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954"/>
        <w:gridCol w:w="3395"/>
      </w:tblGrid>
      <w:tr w:rsidR="00C1354C" w:rsidTr="00C1354C">
        <w:tc>
          <w:tcPr>
            <w:tcW w:w="9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E50D21">
            <w:pPr>
              <w:ind w:left="29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получения письменного заявления об отзыве настоящего</w:t>
            </w:r>
          </w:p>
        </w:tc>
      </w:tr>
      <w:tr w:rsidR="00C1354C" w:rsidTr="00C1354C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согласия на обработку персональных данных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Default="00C1354C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354C" w:rsidRPr="003666C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3666CC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Настоящим даю согласие на получение от Оператора информации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5C1E">
        <w:rPr>
          <w:rFonts w:ascii="Times New Roman" w:hAnsi="Times New Roman" w:cs="Times New Roman"/>
          <w:sz w:val="28"/>
          <w:szCs w:val="28"/>
        </w:rPr>
        <w:t xml:space="preserve">Рассмотрения замечаний к проекту отчета».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6CC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EB1"/>
    <w:rsid w:val="002466CE"/>
    <w:rsid w:val="002C449E"/>
    <w:rsid w:val="003666CC"/>
    <w:rsid w:val="003760A2"/>
    <w:rsid w:val="004D12BE"/>
    <w:rsid w:val="00510978"/>
    <w:rsid w:val="00665C1E"/>
    <w:rsid w:val="006747BE"/>
    <w:rsid w:val="00721A00"/>
    <w:rsid w:val="00725AAD"/>
    <w:rsid w:val="007D6BCE"/>
    <w:rsid w:val="008844A8"/>
    <w:rsid w:val="00917F6E"/>
    <w:rsid w:val="00951A89"/>
    <w:rsid w:val="00AB5E58"/>
    <w:rsid w:val="00C1354C"/>
    <w:rsid w:val="00C55B8E"/>
    <w:rsid w:val="00C77168"/>
    <w:rsid w:val="00CF199D"/>
    <w:rsid w:val="00E50D21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9E66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65</cp:revision>
  <cp:lastPrinted>2025-09-03T03:22:00Z</cp:lastPrinted>
  <dcterms:created xsi:type="dcterms:W3CDTF">2025-07-23T07:38:00Z</dcterms:created>
  <dcterms:modified xsi:type="dcterms:W3CDTF">2025-10-22T08:55:00Z</dcterms:modified>
</cp:coreProperties>
</file>