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8"/>
      </w:tblGrid>
      <w:tr>
        <w:trPr/>
        <w:tblPrEx/>
        <w:tc>
          <w:tcPr>
            <w:tcW w:w="9488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Областное государственное учреждение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8"/>
      </w:tblGrid>
      <w:tr>
        <w:trPr/>
        <w:tblPrEx/>
        <w:tc>
          <w:tcPr>
            <w:tcW w:w="9488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Ф.И.О. заявителя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, телефон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8"/>
      </w:tblGrid>
      <w:tr>
        <w:trPr/>
        <w:tblPrEx/>
        <w:tc>
          <w:tcPr>
            <w:tcW w:w="9488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Адрес заявителя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8"/>
      </w:tblGrid>
      <w:tr>
        <w:trPr/>
        <w:tblPrEx/>
        <w:tc>
          <w:tcPr>
            <w:tcW w:w="9488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Тип, серия, номер и дата выдачи документа, удостоверяющего личность, кем выдан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8"/>
      </w:tblGrid>
      <w:tr>
        <w:trPr/>
        <w:tblPrEx/>
        <w:tc>
          <w:tcPr>
            <w:tcW w:w="9488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Место работы (службы), адрес и телефон организации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88"/>
      </w:tblGrid>
      <w:tr>
        <w:trPr/>
        <w:tblPrEx/>
        <w:tc>
          <w:tcPr>
            <w:tcW w:w="9488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Льготная категория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Прошу назначить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пособие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приобретение для детей, обучающихся в общеобразовательных организациях, одежды для посещения учебных занятий, а 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кже спортивной формы (многодетная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семья)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(на ребенка (детей)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7"/>
        <w:gridCol w:w="421"/>
      </w:tblGrid>
      <w:tr>
        <w:trPr/>
        <w:tblPrEx/>
        <w:tc>
          <w:tcPr>
            <w:tcW w:w="9067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hanging="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(ФИО ребенка (детей) на которого назначается мера социальной поддержки)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Данные второго родителя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(указываются при нал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ичии зарегистрированного брака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72"/>
      </w:tblGrid>
      <w:tr>
        <w:trPr/>
        <w:tblPrEx/>
        <w:tc>
          <w:tcPr>
            <w:tcW w:w="9072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(Ф.И.О., дата рождения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, телефон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7"/>
      </w:tblGrid>
      <w:tr>
        <w:trPr/>
        <w:tblPrEx/>
        <w:tc>
          <w:tcPr>
            <w:tcW w:w="9067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  <w:t xml:space="preserve">Место работы (службы), адрес и телефон организации</w:t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Сведения о членах семьи заявителя, проживающих (пребывающих) совместно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(супруг, дети)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090" w:type="dxa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0"/>
        <w:gridCol w:w="4305"/>
        <w:gridCol w:w="3855"/>
      </w:tblGrid>
      <w:tr>
        <w:trPr>
          <w:tblCellSpacing w:w="15" w:type="dxa"/>
        </w:trPr>
        <w:tblPrEx/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 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ФИО, степень родства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 регистрации по месту жительства или пребывания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blPrEx/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blPrEx/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blPrEx/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15" w:type="dxa"/>
        </w:trPr>
        <w:tblPrEx/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Дополнительные сведения: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Состою на учёте в центре занятости населения в качестве безработного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Являюсь инвалидом I группы или нетрудоспособным инвалидом II группы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Являюсь у детей единственным родителем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Осуществляю уход за ребёнком до достижения им возраста 3 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Осуществляю уход за ребёнком в возрасте от 3 до 18 лет, имеющим медицинские противопоказания для посещения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Осуществляю уход за 3 и более детьми, не достигшими возраста 18 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Осуществляю уход за ребёнком-инвалидом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Осуществляю уход за инвалидом I группы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Осуществляю уход за престарелым, нуждающимся по заключению медицинской организации в постоянном постороннем уходе либо достигшим возраста 80 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Обучаюсь по очной форме в профессиональной образовательной организации либо в образовательной организации высшего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Являюсь военнослужащим или сотрудником правоохранительных органов в последние 6 месяцев, предшествующих месяцу подачи заявления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Осуществляю ведение личного подсобного хозяйства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Получаю страховую пенсию по старости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Получаю пенсию для проходящих военную службу или службу в иных органах, где предусмотрено прохождение государственной службы, связанной с правоохранительной деятельностью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numPr>
          <w:numId w:val="1"/>
          <w:ilvl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Ничего из перечисленного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Прошу перечислять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денежные средства в соответствии со следующими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реквизитами: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31"/>
      </w:tblGrid>
      <w:tr>
        <w:trPr/>
        <w:tblPrEx/>
        <w:tc>
          <w:tcPr>
            <w:tcW w:w="8931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26"/>
      </w:tblGrid>
      <w:tr>
        <w:trPr/>
        <w:tblPrEx/>
        <w:tc>
          <w:tcPr>
            <w:tcW w:w="8926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почту, на расчетный счет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7"/>
        <w:gridCol w:w="9061"/>
      </w:tblGrid>
      <w:tr>
        <w:trPr/>
        <w:tblPrEx/>
        <w:tc>
          <w:tcPr>
            <w:tcW w:w="421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067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предупрежден(-а) об ответственности за предоставление недостоверных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сведений, сокрытие обстоятельств, влияющих на право предоставления 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социальной поддержки.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ознакомился(-ась) с обстоятельствами, влекущими прекращение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предоставления мер социальной поддержки.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Обязуюсь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течение 10 календарных дней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дня наступления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обстоятельств, влекущих прекращение предоставления мер социальной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поддержки, сообщить об их наступлении в учреждение.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9" w:tooltip="https://internet.garant.ru/#/document/12148567/entry/0" w:anchor="/document/12148567/entry/0" w:history="1">
        <w:r>
          <w:rPr>
            <w:rStyle w:val="629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от 27 июля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2006 года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152-ФЗ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 персональных 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даю(ем) согласие на автоматизированную, а также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без использования средств автоматизации обработку персональных данных,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именно:  на сбор, запись, систематизацию, накопление, хранение, уточнение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(обновление, изменение), извлечение,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использование,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передачу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(предоставление, доступ), обезличивание, блокирование, удаление,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уничтожение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Даю согласие на обработку следующих персональных данных: фамилия,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имя, отчество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(при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аличии), дата рождения, адрес места жительства,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данные паспорта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(или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иного документа, удостоверяющего личность) и иные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персональные данные, содержащиеся в документах, прилагаемых к настоящему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заявлению.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анных осуществляется в целях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достижения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цели обработки персональных данных. Оставляю(ем) за собой право отозвать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свое согласие полностью или частично по собственной инициативе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основании личного письменного заявления, в том числе и в случае ставших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мне (нам) известными фактов нарушения моих (наших) прав при обработке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данных. В случае получения письменного заявления об отзыве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настоящего согласия на обработку персональных данных Оператор вправе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продолжить обработку персональных данных без моего (нашего) согласия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наличии оснований, указанных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r:id="rId10" w:tooltip="https://internet.garant.ru/#/document/12148567/entry/6012" w:anchor="/document/12148567/entry/6012" w:history="1">
        <w:r>
          <w:rPr>
            <w:rStyle w:val="629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пунктах 2 - 11 части 1  статьи 6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Федерального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152-ФЗ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63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827"/>
      </w:tblGrid>
      <w:tr>
        <w:trPr/>
        <w:tblPrEx/>
        <w:tc>
          <w:tcPr>
            <w:tcW w:w="704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 заявителя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851" w:right="707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◻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25"/>
    <w:next w:val="625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25"/>
    <w:next w:val="625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25"/>
    <w:next w:val="625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25"/>
    <w:next w:val="625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25"/>
    <w:next w:val="625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25"/>
    <w:next w:val="625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25"/>
    <w:next w:val="625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25"/>
    <w:next w:val="625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>
    <w:name w:val="Hyperlink"/>
    <w:basedOn w:val="626"/>
    <w:uiPriority w:val="99"/>
    <w:unhideWhenUsed/>
    <w:rPr>
      <w:color w:val="0563c1" w:themeColor="hyperlink"/>
      <w:u w:val="single"/>
    </w:rPr>
  </w:style>
  <w:style w:type="paragraph" w:styleId="630">
    <w:name w:val="Balloon Text"/>
    <w:basedOn w:val="625"/>
    <w:link w:val="6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1" w:customStyle="1">
    <w:name w:val="Текст выноски Знак"/>
    <w:basedOn w:val="626"/>
    <w:link w:val="630"/>
    <w:uiPriority w:val="99"/>
    <w:semiHidden/>
    <w:rPr>
      <w:rFonts w:ascii="Segoe UI" w:hAnsi="Segoe UI" w:cs="Segoe UI"/>
      <w:sz w:val="18"/>
      <w:szCs w:val="18"/>
    </w:rPr>
  </w:style>
  <w:style w:type="paragraph" w:styleId="632">
    <w:name w:val="List Paragraph"/>
    <w:basedOn w:val="625"/>
    <w:uiPriority w:val="34"/>
    <w:qFormat/>
    <w:pPr>
      <w:ind w:left="720"/>
      <w:contextualSpacing/>
    </w:pPr>
  </w:style>
  <w:style w:type="table" w:styleId="633">
    <w:name w:val="Table Grid"/>
    <w:basedOn w:val="62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SC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Огнянникова Анастасия Владимировна</dc:creator>
  <cp:keywords/>
  <dc:description/>
  <cp:revision>14</cp:revision>
  <dcterms:created xsi:type="dcterms:W3CDTF">2025-01-09T01:26:00Z</dcterms:created>
  <dcterms:modified xsi:type="dcterms:W3CDTF">2025-01-23T07:09:48Z</dcterms:modified>
</cp:coreProperties>
</file>